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61"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17, 2026</w:t>
      </w:r>
    </w:p>
    <w:p>
      <w:pPr>
        <w:spacing w:after="0" w:line="26"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AKEBIA THERAPEUTICS,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180" w:lineRule="exact"/>
        <w:rPr>
          <w:sz w:val="24"/>
          <w:szCs w:val="24"/>
          <w:color w:val="auto"/>
        </w:rPr>
      </w:pPr>
    </w:p>
    <w:tbl>
      <w:tblPr>
        <w:tblLayout w:type="fixed"/>
        <w:tblInd w:w="940" w:type="dxa"/>
        <w:tblCellMar>
          <w:top w:w="0" w:type="dxa"/>
          <w:left w:w="0" w:type="dxa"/>
          <w:bottom w:w="0" w:type="dxa"/>
          <w:right w:w="0" w:type="dxa"/>
        </w:tblCellMar>
      </w:tblPr>
      <w:tr>
        <w:trPr>
          <w:trHeight w:val="239"/>
        </w:trPr>
        <w:tc>
          <w:tcPr>
            <w:tcW w:w="36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8"/>
              </w:rPr>
              <w:t>Delaware</w:t>
            </w:r>
          </w:p>
        </w:tc>
        <w:tc>
          <w:tcPr>
            <w:tcW w:w="2500" w:type="dxa"/>
            <w:vAlign w:val="bottom"/>
          </w:tcPr>
          <w:p>
            <w:pPr>
              <w:jc w:val="center"/>
              <w:ind w:right="442"/>
              <w:spacing w:after="0"/>
              <w:rPr>
                <w:sz w:val="20"/>
                <w:szCs w:val="20"/>
                <w:color w:val="auto"/>
              </w:rPr>
            </w:pPr>
            <w:r>
              <w:rPr>
                <w:rFonts w:ascii="Arial" w:cs="Arial" w:eastAsia="Arial" w:hAnsi="Arial"/>
                <w:sz w:val="18"/>
                <w:szCs w:val="18"/>
                <w:b w:val="1"/>
                <w:bCs w:val="1"/>
                <w:color w:val="auto"/>
                <w:w w:val="99"/>
              </w:rPr>
              <w:t>001-36352</w:t>
            </w:r>
          </w:p>
        </w:tc>
        <w:tc>
          <w:tcPr>
            <w:tcW w:w="2880" w:type="dxa"/>
            <w:vAlign w:val="bottom"/>
          </w:tcPr>
          <w:p>
            <w:pPr>
              <w:jc w:val="center"/>
              <w:ind w:left="1601"/>
              <w:spacing w:after="0"/>
              <w:rPr>
                <w:sz w:val="20"/>
                <w:szCs w:val="20"/>
                <w:color w:val="auto"/>
              </w:rPr>
            </w:pPr>
            <w:r>
              <w:rPr>
                <w:rFonts w:ascii="Arial" w:cs="Arial" w:eastAsia="Arial" w:hAnsi="Arial"/>
                <w:sz w:val="18"/>
                <w:szCs w:val="18"/>
                <w:b w:val="1"/>
                <w:bCs w:val="1"/>
                <w:color w:val="auto"/>
                <w:w w:val="99"/>
              </w:rPr>
              <w:t>20-8756903</w:t>
            </w:r>
          </w:p>
        </w:tc>
        <w:tc>
          <w:tcPr>
            <w:tcW w:w="0" w:type="dxa"/>
            <w:vAlign w:val="bottom"/>
          </w:tcPr>
          <w:p>
            <w:pPr>
              <w:spacing w:after="0"/>
              <w:rPr>
                <w:sz w:val="1"/>
                <w:szCs w:val="1"/>
                <w:color w:val="auto"/>
              </w:rPr>
            </w:pPr>
          </w:p>
        </w:tc>
      </w:tr>
      <w:tr>
        <w:trPr>
          <w:trHeight w:val="148"/>
        </w:trPr>
        <w:tc>
          <w:tcPr>
            <w:tcW w:w="366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rPr>
              <w:t>(State or other jurisdiction</w:t>
            </w:r>
          </w:p>
        </w:tc>
        <w:tc>
          <w:tcPr>
            <w:tcW w:w="2500" w:type="dxa"/>
            <w:vAlign w:val="bottom"/>
          </w:tcPr>
          <w:p>
            <w:pPr>
              <w:jc w:val="center"/>
              <w:ind w:right="422"/>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3660" w:type="dxa"/>
            <w:vAlign w:val="bottom"/>
          </w:tcPr>
          <w:p>
            <w:pPr>
              <w:jc w:val="center"/>
              <w:ind w:right="1799"/>
              <w:spacing w:after="0"/>
              <w:rPr>
                <w:sz w:val="20"/>
                <w:szCs w:val="20"/>
                <w:color w:val="auto"/>
              </w:rPr>
            </w:pPr>
            <w:r>
              <w:rPr>
                <w:rFonts w:ascii="Arial" w:cs="Arial" w:eastAsia="Arial" w:hAnsi="Arial"/>
                <w:sz w:val="14"/>
                <w:szCs w:val="14"/>
                <w:b w:val="1"/>
                <w:bCs w:val="1"/>
                <w:color w:val="auto"/>
              </w:rPr>
              <w:t>of incorporation)</w:t>
            </w:r>
          </w:p>
        </w:tc>
        <w:tc>
          <w:tcPr>
            <w:tcW w:w="2500" w:type="dxa"/>
            <w:vAlign w:val="bottom"/>
          </w:tcPr>
          <w:p>
            <w:pPr>
              <w:jc w:val="center"/>
              <w:ind w:right="422"/>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58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245 First Street</w:t>
            </w:r>
          </w:p>
        </w:tc>
        <w:tc>
          <w:tcPr>
            <w:tcW w:w="2500" w:type="dxa"/>
            <w:vAlign w:val="bottom"/>
          </w:tcPr>
          <w:p>
            <w:pPr>
              <w:spacing w:after="0"/>
              <w:rPr>
                <w:sz w:val="24"/>
                <w:szCs w:val="24"/>
                <w:color w:val="auto"/>
              </w:rPr>
            </w:pPr>
          </w:p>
        </w:tc>
        <w:tc>
          <w:tcPr>
            <w:tcW w:w="2880" w:type="dxa"/>
            <w:vAlign w:val="bottom"/>
            <w:vMerge w:val="restart"/>
          </w:tcPr>
          <w:p>
            <w:pPr>
              <w:jc w:val="right"/>
              <w:ind w:right="1161"/>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24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Cambridge, Massachusetts</w:t>
            </w:r>
          </w:p>
        </w:tc>
        <w:tc>
          <w:tcPr>
            <w:tcW w:w="2500" w:type="dxa"/>
            <w:vAlign w:val="bottom"/>
          </w:tcPr>
          <w:p>
            <w:pPr>
              <w:spacing w:after="0"/>
              <w:rPr>
                <w:sz w:val="21"/>
                <w:szCs w:val="21"/>
                <w:color w:val="auto"/>
              </w:rPr>
            </w:pPr>
          </w:p>
        </w:tc>
        <w:tc>
          <w:tcPr>
            <w:tcW w:w="2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(Address of principal executive offices)</w:t>
            </w:r>
          </w:p>
        </w:tc>
        <w:tc>
          <w:tcPr>
            <w:tcW w:w="2500" w:type="dxa"/>
            <w:vAlign w:val="bottom"/>
          </w:tcPr>
          <w:p>
            <w:pPr>
              <w:spacing w:after="0"/>
              <w:rPr>
                <w:sz w:val="17"/>
                <w:szCs w:val="17"/>
                <w:color w:val="auto"/>
              </w:rPr>
            </w:pPr>
          </w:p>
        </w:tc>
        <w:tc>
          <w:tcPr>
            <w:tcW w:w="2880" w:type="dxa"/>
            <w:vAlign w:val="bottom"/>
          </w:tcPr>
          <w:p>
            <w:pPr>
              <w:jc w:val="center"/>
              <w:ind w:right="2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bl>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871-2098</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168"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Title of each class</w:t>
            </w:r>
          </w:p>
        </w:tc>
        <w:tc>
          <w:tcPr>
            <w:tcW w:w="3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4240" w:type="dxa"/>
            <w:vAlign w:val="bottom"/>
            <w:gridSpan w:val="2"/>
            <w:vMerge w:val="continue"/>
          </w:tcPr>
          <w:p>
            <w:pPr>
              <w:spacing w:after="0"/>
              <w:rPr>
                <w:sz w:val="16"/>
                <w:szCs w:val="16"/>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$0.00001 per share</w:t>
            </w:r>
          </w:p>
        </w:tc>
        <w:tc>
          <w:tcPr>
            <w:tcW w:w="8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AKBA</w:t>
            </w:r>
          </w:p>
        </w:tc>
        <w:tc>
          <w:tcPr>
            <w:tcW w:w="8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Capital Market</w:t>
            </w:r>
          </w:p>
        </w:tc>
        <w:tc>
          <w:tcPr>
            <w:tcW w:w="0" w:type="dxa"/>
            <w:vAlign w:val="bottom"/>
          </w:tcPr>
          <w:p>
            <w:pPr>
              <w:spacing w:after="0"/>
              <w:rPr>
                <w:sz w:val="1"/>
                <w:szCs w:val="1"/>
                <w:color w:val="auto"/>
              </w:rPr>
            </w:pPr>
          </w:p>
        </w:tc>
      </w:tr>
    </w:tbl>
    <w:p>
      <w:pPr>
        <w:spacing w:after="0" w:line="245" w:lineRule="exact"/>
        <w:rPr>
          <w:sz w:val="24"/>
          <w:szCs w:val="24"/>
          <w:color w:val="auto"/>
        </w:rPr>
      </w:pPr>
    </w:p>
    <w:p>
      <w:pPr>
        <w:ind w:right="6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3" w:lineRule="exact"/>
        <w:rPr>
          <w:sz w:val="24"/>
          <w:szCs w:val="24"/>
          <w:color w:val="auto"/>
        </w:rPr>
      </w:pPr>
    </w:p>
    <w:p>
      <w:pPr>
        <w:ind w:left="8500"/>
        <w:spacing w:after="0" w:line="207" w:lineRule="exact"/>
        <w:tabs>
          <w:tab w:leader="none" w:pos="109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19"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17, 2026, Akebia Therapeutics, Inc. (the "Company") held its 2026 Annual Meeting of Stockholders (the "Annual Meeting") to consider and vote upon the matters listed below. The following is a summary of the matters voted on at the Annual Meeting and the results of the votes on such matters.</w:t>
      </w:r>
    </w:p>
    <w:p>
      <w:pPr>
        <w:spacing w:after="0" w:line="196"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Adrian Adams, Michael Rogers and LeAnne M. Zumwalt as Class III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each to serve until the 2029 annual meeting of stockholders and until their successors are duly elected and qualified, subject to their earlier death, resignation or removal. The results of the vote on Proposal 1 were as follows:</w:t>
      </w:r>
    </w:p>
    <w:p>
      <w:pPr>
        <w:spacing w:after="0" w:line="21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194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Votes For</w:t>
            </w:r>
          </w:p>
        </w:tc>
        <w:tc>
          <w:tcPr>
            <w:tcW w:w="194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Votes Withheld</w:t>
            </w:r>
          </w:p>
        </w:tc>
        <w:tc>
          <w:tcPr>
            <w:tcW w:w="1760" w:type="dxa"/>
            <w:vAlign w:val="bottom"/>
          </w:tcPr>
          <w:p>
            <w:pPr>
              <w:jc w:val="right"/>
              <w:ind w:right="530"/>
              <w:spacing w:after="0"/>
              <w:rPr>
                <w:sz w:val="20"/>
                <w:szCs w:val="20"/>
                <w:color w:val="auto"/>
              </w:rPr>
            </w:pPr>
            <w:r>
              <w:rPr>
                <w:rFonts w:ascii="Arial" w:cs="Arial" w:eastAsia="Arial" w:hAnsi="Arial"/>
                <w:sz w:val="18"/>
                <w:szCs w:val="18"/>
                <w:b w:val="1"/>
                <w:bCs w:val="1"/>
                <w:color w:val="auto"/>
              </w:rPr>
              <w:t>Broker</w:t>
            </w:r>
          </w:p>
        </w:tc>
        <w:tc>
          <w:tcPr>
            <w:tcW w:w="0" w:type="dxa"/>
            <w:vAlign w:val="bottom"/>
          </w:tcPr>
          <w:p>
            <w:pPr>
              <w:spacing w:after="0"/>
              <w:rPr>
                <w:sz w:val="1"/>
                <w:szCs w:val="1"/>
                <w:color w:val="auto"/>
              </w:rPr>
            </w:pPr>
          </w:p>
        </w:tc>
      </w:tr>
      <w:tr>
        <w:trPr>
          <w:trHeight w:val="235"/>
        </w:trPr>
        <w:tc>
          <w:tcPr>
            <w:tcW w:w="1920" w:type="dxa"/>
            <w:vAlign w:val="bottom"/>
          </w:tcPr>
          <w:p>
            <w:pPr>
              <w:spacing w:after="0"/>
              <w:rPr>
                <w:sz w:val="20"/>
                <w:szCs w:val="20"/>
                <w:color w:val="auto"/>
              </w:rPr>
            </w:pPr>
          </w:p>
        </w:tc>
        <w:tc>
          <w:tcPr>
            <w:tcW w:w="1940" w:type="dxa"/>
            <w:vAlign w:val="bottom"/>
            <w:gridSpan w:val="2"/>
            <w:vMerge w:val="continue"/>
          </w:tcPr>
          <w:p>
            <w:pPr>
              <w:spacing w:after="0"/>
              <w:rPr>
                <w:sz w:val="20"/>
                <w:szCs w:val="20"/>
                <w:color w:val="auto"/>
              </w:rPr>
            </w:pPr>
          </w:p>
        </w:tc>
        <w:tc>
          <w:tcPr>
            <w:tcW w:w="1940" w:type="dxa"/>
            <w:vAlign w:val="bottom"/>
            <w:gridSpan w:val="2"/>
            <w:vMerge w:val="continue"/>
          </w:tcPr>
          <w:p>
            <w:pPr>
              <w:spacing w:after="0"/>
              <w:rPr>
                <w:sz w:val="20"/>
                <w:szCs w:val="20"/>
                <w:color w:val="auto"/>
              </w:rPr>
            </w:pPr>
          </w:p>
        </w:tc>
        <w:tc>
          <w:tcPr>
            <w:tcW w:w="1760" w:type="dxa"/>
            <w:vAlign w:val="bottom"/>
          </w:tcPr>
          <w:p>
            <w:pPr>
              <w:jc w:val="right"/>
              <w:ind w:right="350"/>
              <w:spacing w:after="0"/>
              <w:rPr>
                <w:sz w:val="20"/>
                <w:szCs w:val="20"/>
                <w:color w:val="auto"/>
              </w:rPr>
            </w:pPr>
            <w:r>
              <w:rPr>
                <w:rFonts w:ascii="Arial" w:cs="Arial" w:eastAsia="Arial" w:hAnsi="Arial"/>
                <w:sz w:val="18"/>
                <w:szCs w:val="18"/>
                <w:b w:val="1"/>
                <w:bCs w:val="1"/>
                <w:color w:val="auto"/>
              </w:rPr>
              <w:t>Non-Votes</w:t>
            </w:r>
          </w:p>
        </w:tc>
        <w:tc>
          <w:tcPr>
            <w:tcW w:w="0" w:type="dxa"/>
            <w:vAlign w:val="bottom"/>
          </w:tcPr>
          <w:p>
            <w:pPr>
              <w:spacing w:after="0"/>
              <w:rPr>
                <w:sz w:val="1"/>
                <w:szCs w:val="1"/>
                <w:color w:val="auto"/>
              </w:rPr>
            </w:pPr>
          </w:p>
        </w:tc>
      </w:tr>
      <w:tr>
        <w:trPr>
          <w:trHeight w:val="223"/>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Adrian Adams</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102,040,314</w:t>
            </w:r>
          </w:p>
        </w:tc>
        <w:tc>
          <w:tcPr>
            <w:tcW w:w="2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41,312,586</w:t>
            </w:r>
          </w:p>
        </w:tc>
        <w:tc>
          <w:tcPr>
            <w:tcW w:w="2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48,297,931</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Arial" w:cs="Arial" w:eastAsia="Arial" w:hAnsi="Arial"/>
                <w:sz w:val="18"/>
                <w:szCs w:val="18"/>
                <w:color w:val="auto"/>
              </w:rPr>
              <w:t>Michael Rogers</w:t>
            </w:r>
          </w:p>
        </w:tc>
        <w:tc>
          <w:tcPr>
            <w:tcW w:w="1720" w:type="dxa"/>
            <w:vAlign w:val="bottom"/>
          </w:tcPr>
          <w:p>
            <w:pPr>
              <w:jc w:val="right"/>
              <w:spacing w:after="0"/>
              <w:rPr>
                <w:sz w:val="20"/>
                <w:szCs w:val="20"/>
                <w:color w:val="auto"/>
              </w:rPr>
            </w:pPr>
            <w:r>
              <w:rPr>
                <w:rFonts w:ascii="Arial" w:cs="Arial" w:eastAsia="Arial" w:hAnsi="Arial"/>
                <w:sz w:val="18"/>
                <w:szCs w:val="18"/>
                <w:color w:val="auto"/>
              </w:rPr>
              <w:t>102,377,117</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40,975,783</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48,297,931</w:t>
            </w: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LeAnne M. Zumwalt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97,926,409</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45,426,491</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48,297,931</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approved an amendment to the Company's Ninth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to (i) increase the number of authorized shares of capital stock from 375,000,000 to 525,000,000 and (ii) increase the number of authorized shares of common stock, par value $0.00001 per share, from 350,000,000 to 500,000,000 (the “Share Increase Amendment”). The results of the vote on Proposal 2 were as follows:</w:t>
      </w:r>
    </w:p>
    <w:p>
      <w:pPr>
        <w:spacing w:after="0" w:line="12" w:lineRule="exact"/>
        <w:rPr>
          <w:sz w:val="20"/>
          <w:szCs w:val="20"/>
          <w:color w:val="auto"/>
        </w:rPr>
      </w:pPr>
    </w:p>
    <w:tbl>
      <w:tblPr>
        <w:tblLayout w:type="fixed"/>
        <w:tblInd w:w="1300" w:type="dxa"/>
        <w:tblCellMar>
          <w:top w:w="0" w:type="dxa"/>
          <w:left w:w="0" w:type="dxa"/>
          <w:bottom w:w="0" w:type="dxa"/>
          <w:right w:w="0" w:type="dxa"/>
        </w:tblCellMar>
      </w:tblPr>
      <w:tr>
        <w:trPr>
          <w:trHeight w:val="235"/>
        </w:trPr>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Votes For</w:t>
            </w: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Votes Against</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7"/>
              </w:rPr>
              <w:t>Votes Abstaining</w:t>
            </w:r>
          </w:p>
        </w:tc>
      </w:tr>
      <w:tr>
        <w:trPr>
          <w:trHeight w:val="223"/>
        </w:trPr>
        <w:tc>
          <w:tcPr>
            <w:tcW w:w="252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102,504,108</w:t>
            </w:r>
          </w:p>
        </w:tc>
        <w:tc>
          <w:tcPr>
            <w:tcW w:w="2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88,853,129</w:t>
            </w:r>
          </w:p>
        </w:tc>
        <w:tc>
          <w:tcPr>
            <w:tcW w:w="2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293,594</w:t>
            </w:r>
          </w:p>
        </w:tc>
      </w:tr>
    </w:tbl>
    <w:p>
      <w:pPr>
        <w:spacing w:after="0" w:line="292"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18"/>
          <w:szCs w:val="18"/>
          <w:color w:val="auto"/>
        </w:rPr>
        <w:t>The Company filed a Certificate of Amendment to Certificate of Incorporation with the Secretary of State of the State of Delaware on June 18, 2026 to effect the Share Increase Amendment.</w:t>
      </w:r>
    </w:p>
    <w:p>
      <w:pPr>
        <w:spacing w:after="0" w:line="181"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b w:val="1"/>
          <w:bCs w:val="1"/>
          <w:color w:val="auto"/>
        </w:rPr>
        <w:t>Proposal 3</w:t>
      </w:r>
      <w:r>
        <w:rPr>
          <w:rFonts w:ascii="Arial" w:cs="Arial" w:eastAsia="Arial" w:hAnsi="Arial"/>
          <w:sz w:val="18"/>
          <w:szCs w:val="18"/>
          <w:color w:val="auto"/>
        </w:rPr>
        <w:t>: The Company's stockholders' approved, on a non-binding advisory basis, the compensation of the Company’s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The results of the non-binding advisory vote on Proposal 3 were as follows: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5"/>
        </w:trPr>
        <w:tc>
          <w:tcPr>
            <w:tcW w:w="2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Votes For</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Votes Against</w:t>
            </w: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Votes Abstaining</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23"/>
        </w:trPr>
        <w:tc>
          <w:tcPr>
            <w:tcW w:w="18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89,838,833</w:t>
            </w:r>
          </w:p>
        </w:tc>
        <w:tc>
          <w:tcPr>
            <w:tcW w:w="2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51,140,010</w:t>
            </w:r>
          </w:p>
        </w:tc>
        <w:tc>
          <w:tcPr>
            <w:tcW w:w="2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2,374,057</w:t>
            </w:r>
          </w:p>
        </w:tc>
        <w:tc>
          <w:tcPr>
            <w:tcW w:w="2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48,297,931</w:t>
            </w:r>
          </w:p>
        </w:tc>
      </w:tr>
    </w:tbl>
    <w:p>
      <w:pPr>
        <w:spacing w:after="0" w:line="200" w:lineRule="exact"/>
        <w:rPr>
          <w:sz w:val="20"/>
          <w:szCs w:val="20"/>
          <w:color w:val="auto"/>
        </w:rPr>
      </w:pPr>
    </w:p>
    <w:p>
      <w:pPr>
        <w:spacing w:after="0" w:line="34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b w:val="1"/>
          <w:bCs w:val="1"/>
          <w:color w:val="auto"/>
        </w:rPr>
        <w:t xml:space="preserve">Proposal 4: </w:t>
      </w:r>
      <w:r>
        <w:rPr>
          <w:rFonts w:ascii="Arial" w:cs="Arial" w:eastAsia="Arial" w:hAnsi="Arial"/>
          <w:sz w:val="18"/>
          <w:szCs w:val="18"/>
          <w:color w:val="auto"/>
        </w:rPr>
        <w:t>The Company's stockholders recommended, on a non-binding advisory basis, that future advisory votes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the Company's named executive officers be held every year. The results of the non-binding advisory vote on Proposal 4 were as follows:</w:t>
      </w:r>
    </w:p>
    <w:p>
      <w:pPr>
        <w:spacing w:after="0" w:line="22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060" w:type="dxa"/>
            <w:vAlign w:val="bottom"/>
            <w:gridSpan w:val="2"/>
          </w:tcPr>
          <w:p>
            <w:pPr>
              <w:ind w:left="520"/>
              <w:spacing w:after="0"/>
              <w:rPr>
                <w:sz w:val="20"/>
                <w:szCs w:val="20"/>
                <w:color w:val="auto"/>
              </w:rPr>
            </w:pPr>
            <w:r>
              <w:rPr>
                <w:rFonts w:ascii="Arial" w:cs="Arial" w:eastAsia="Arial" w:hAnsi="Arial"/>
                <w:sz w:val="18"/>
                <w:szCs w:val="18"/>
                <w:b w:val="1"/>
                <w:bCs w:val="1"/>
                <w:color w:val="auto"/>
              </w:rPr>
              <w:t>Votes for</w:t>
            </w:r>
          </w:p>
        </w:tc>
        <w:tc>
          <w:tcPr>
            <w:tcW w:w="2060" w:type="dxa"/>
            <w:vAlign w:val="bottom"/>
            <w:gridSpan w:val="2"/>
          </w:tcPr>
          <w:p>
            <w:pPr>
              <w:ind w:left="520"/>
              <w:spacing w:after="0"/>
              <w:rPr>
                <w:sz w:val="20"/>
                <w:szCs w:val="20"/>
                <w:color w:val="auto"/>
              </w:rPr>
            </w:pPr>
            <w:r>
              <w:rPr>
                <w:rFonts w:ascii="Arial" w:cs="Arial" w:eastAsia="Arial" w:hAnsi="Arial"/>
                <w:sz w:val="18"/>
                <w:szCs w:val="18"/>
                <w:b w:val="1"/>
                <w:bCs w:val="1"/>
                <w:color w:val="auto"/>
              </w:rPr>
              <w:t>Votes for</w:t>
            </w:r>
          </w:p>
        </w:tc>
        <w:tc>
          <w:tcPr>
            <w:tcW w:w="2060" w:type="dxa"/>
            <w:vAlign w:val="bottom"/>
            <w:gridSpan w:val="2"/>
          </w:tcPr>
          <w:p>
            <w:pPr>
              <w:ind w:left="520"/>
              <w:spacing w:after="0"/>
              <w:rPr>
                <w:sz w:val="20"/>
                <w:szCs w:val="20"/>
                <w:color w:val="auto"/>
              </w:rPr>
            </w:pPr>
            <w:r>
              <w:rPr>
                <w:rFonts w:ascii="Arial" w:cs="Arial" w:eastAsia="Arial" w:hAnsi="Arial"/>
                <w:sz w:val="18"/>
                <w:szCs w:val="18"/>
                <w:b w:val="1"/>
                <w:bCs w:val="1"/>
                <w:color w:val="auto"/>
              </w:rPr>
              <w:t>Votes for</w:t>
            </w: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Votes Abstaining</w:t>
            </w:r>
          </w:p>
        </w:tc>
        <w:tc>
          <w:tcPr>
            <w:tcW w:w="0" w:type="dxa"/>
            <w:vAlign w:val="bottom"/>
          </w:tcPr>
          <w:p>
            <w:pPr>
              <w:spacing w:after="0"/>
              <w:rPr>
                <w:sz w:val="1"/>
                <w:szCs w:val="1"/>
                <w:color w:val="auto"/>
              </w:rPr>
            </w:pPr>
          </w:p>
        </w:tc>
      </w:tr>
      <w:tr>
        <w:trPr>
          <w:trHeight w:val="243"/>
        </w:trPr>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Every 1 Year</w:t>
            </w:r>
          </w:p>
        </w:tc>
        <w:tc>
          <w:tcPr>
            <w:tcW w:w="2060" w:type="dxa"/>
            <w:vAlign w:val="bottom"/>
            <w:gridSpan w:val="2"/>
          </w:tcPr>
          <w:p>
            <w:pPr>
              <w:ind w:left="340"/>
              <w:spacing w:after="0"/>
              <w:rPr>
                <w:sz w:val="20"/>
                <w:szCs w:val="20"/>
                <w:color w:val="auto"/>
              </w:rPr>
            </w:pPr>
            <w:r>
              <w:rPr>
                <w:rFonts w:ascii="Arial" w:cs="Arial" w:eastAsia="Arial" w:hAnsi="Arial"/>
                <w:sz w:val="18"/>
                <w:szCs w:val="18"/>
                <w:b w:val="1"/>
                <w:bCs w:val="1"/>
                <w:color w:val="auto"/>
              </w:rPr>
              <w:t>Every 2 Years</w:t>
            </w: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Every 3 Years</w:t>
            </w:r>
          </w:p>
        </w:tc>
        <w:tc>
          <w:tcPr>
            <w:tcW w:w="1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112,927,161</w:t>
            </w:r>
          </w:p>
        </w:tc>
        <w:tc>
          <w:tcPr>
            <w:tcW w:w="2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2,739,581</w:t>
            </w:r>
          </w:p>
        </w:tc>
        <w:tc>
          <w:tcPr>
            <w:tcW w:w="2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20,605,688</w:t>
            </w:r>
          </w:p>
        </w:tc>
        <w:tc>
          <w:tcPr>
            <w:tcW w:w="2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7,080,470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After taking into consideration the results of this vote, and consistent with the prior recommendation of the Company’s Board of Directors (the "Board") in favor of an annual stockholder advisory vote on the compensation of the Company’s named executive officers, the Board intends to hold an advisory vote on executive compensation on an annual basis, until the next non-binding advisory vote on the frequency of future advisory votes on the compensation of the Company’s named executive officers, which is required at least once every six years.</w:t>
      </w:r>
    </w:p>
    <w:p>
      <w:pPr>
        <w:spacing w:after="0" w:line="203"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Proposal 5: </w:t>
      </w:r>
      <w:r>
        <w:rPr>
          <w:rFonts w:ascii="Arial" w:cs="Arial" w:eastAsia="Arial" w:hAnsi="Arial"/>
          <w:sz w:val="18"/>
          <w:szCs w:val="18"/>
          <w:color w:val="auto"/>
        </w:rPr>
        <w:t>The Company’s stockholders ratified the appointment of Ernst &amp; Young LLP as the Company’s independent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accounting firm for the fiscal year ending December 31, 2026. The results of the vote on Proposal 5 were as follows:</w:t>
      </w:r>
    </w:p>
    <w:tbl>
      <w:tblPr>
        <w:tblLayout w:type="fixed"/>
        <w:tblInd w:w="0" w:type="dxa"/>
        <w:tblCellMar>
          <w:top w:w="0" w:type="dxa"/>
          <w:left w:w="0" w:type="dxa"/>
          <w:bottom w:w="0" w:type="dxa"/>
          <w:right w:w="0" w:type="dxa"/>
        </w:tblCellMar>
      </w:tblPr>
      <w:tr>
        <w:trPr>
          <w:trHeight w:val="235"/>
        </w:trPr>
        <w:tc>
          <w:tcPr>
            <w:tcW w:w="1300" w:type="dxa"/>
            <w:vAlign w:val="bottom"/>
          </w:tcPr>
          <w:p>
            <w:pPr>
              <w:spacing w:after="0"/>
              <w:rPr>
                <w:sz w:val="20"/>
                <w:szCs w:val="20"/>
                <w:color w:val="auto"/>
              </w:rPr>
            </w:pPr>
          </w:p>
        </w:tc>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Votes For</w:t>
            </w: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Votes Against</w:t>
            </w:r>
          </w:p>
        </w:tc>
        <w:tc>
          <w:tcPr>
            <w:tcW w:w="446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w w:val="97"/>
              </w:rPr>
              <w:t>Votes Abstaining</w:t>
            </w:r>
          </w:p>
        </w:tc>
      </w:tr>
      <w:tr>
        <w:trPr>
          <w:trHeight w:val="223"/>
        </w:trPr>
        <w:tc>
          <w:tcPr>
            <w:tcW w:w="1300" w:type="dxa"/>
            <w:vAlign w:val="bottom"/>
          </w:tcPr>
          <w:p>
            <w:pPr>
              <w:spacing w:after="0"/>
              <w:rPr>
                <w:sz w:val="19"/>
                <w:szCs w:val="19"/>
                <w:color w:val="auto"/>
              </w:rPr>
            </w:pPr>
          </w:p>
        </w:tc>
        <w:tc>
          <w:tcPr>
            <w:tcW w:w="252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173,306,165</w:t>
            </w:r>
          </w:p>
        </w:tc>
        <w:tc>
          <w:tcPr>
            <w:tcW w:w="2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15,754,273</w:t>
            </w:r>
          </w:p>
        </w:tc>
        <w:tc>
          <w:tcPr>
            <w:tcW w:w="2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2,590,393</w:t>
            </w:r>
          </w:p>
        </w:tc>
        <w:tc>
          <w:tcPr>
            <w:tcW w:w="1940" w:type="dxa"/>
            <w:vAlign w:val="bottom"/>
          </w:tcPr>
          <w:p>
            <w:pPr>
              <w:spacing w:after="0"/>
              <w:rPr>
                <w:sz w:val="19"/>
                <w:szCs w:val="19"/>
                <w:color w:val="auto"/>
              </w:rPr>
            </w:pPr>
          </w:p>
        </w:tc>
      </w:tr>
      <w:tr>
        <w:trPr>
          <w:trHeight w:val="1249"/>
        </w:trPr>
        <w:tc>
          <w:tcPr>
            <w:tcW w:w="13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SIGNATURE</w:t>
      </w:r>
    </w:p>
    <w:p>
      <w:pPr>
        <w:spacing w:after="0" w:line="15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AKEBIA THERAPEUTICS, INC.</w:t>
            </w:r>
          </w:p>
        </w:tc>
      </w:tr>
      <w:tr>
        <w:trPr>
          <w:trHeight w:val="495"/>
        </w:trPr>
        <w:tc>
          <w:tcPr>
            <w:tcW w:w="3420" w:type="dxa"/>
            <w:vAlign w:val="bottom"/>
          </w:tcPr>
          <w:p>
            <w:pPr>
              <w:spacing w:after="0"/>
              <w:rPr>
                <w:sz w:val="20"/>
                <w:szCs w:val="20"/>
                <w:color w:val="auto"/>
              </w:rPr>
            </w:pPr>
            <w:r>
              <w:rPr>
                <w:rFonts w:ascii="Arial" w:cs="Arial" w:eastAsia="Arial" w:hAnsi="Arial"/>
                <w:sz w:val="18"/>
                <w:szCs w:val="18"/>
                <w:color w:val="auto"/>
              </w:rPr>
              <w:t>Date: June 22, 2026</w:t>
            </w:r>
          </w:p>
        </w:tc>
        <w:tc>
          <w:tcPr>
            <w:tcW w:w="2460" w:type="dxa"/>
            <w:vAlign w:val="bottom"/>
          </w:tcPr>
          <w:p>
            <w:pPr>
              <w:ind w:left="180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P. Butler</w:t>
            </w:r>
          </w:p>
        </w:tc>
      </w:tr>
      <w:tr>
        <w:trPr>
          <w:trHeight w:val="218"/>
        </w:trPr>
        <w:tc>
          <w:tcPr>
            <w:tcW w:w="34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Name: John P. Butler</w:t>
            </w:r>
          </w:p>
        </w:tc>
      </w:tr>
      <w:tr>
        <w:trPr>
          <w:trHeight w:val="239"/>
        </w:trPr>
        <w:tc>
          <w:tcPr>
            <w:tcW w:w="3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Title: President and Chief Executive Officer</w:t>
            </w:r>
          </w:p>
        </w:tc>
      </w:tr>
    </w:tbl>
    <w:p>
      <w:pPr>
        <w:spacing w:after="0" w:line="1" w:lineRule="exact"/>
        <w:rPr>
          <w:sz w:val="20"/>
          <w:szCs w:val="20"/>
          <w:color w:val="auto"/>
        </w:rPr>
      </w:pPr>
    </w:p>
    <w:sectPr>
      <w:pgSz w:w="11900" w:h="16838" w:orient="portrait"/>
      <w:cols w:equalWidth="0" w:num="1">
        <w:col w:w="11240"/>
      </w:cols>
      <w:pgMar w:left="320" w:top="5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2026-06-22T15:35:26Z</dcterms:created>
  <dcterms:modified xsi:type="dcterms:W3CDTF">2026-06-22T15:35:26Z</dcterms:modified>
</cp:coreProperties>
</file>